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ED55A">
      <w:pPr>
        <w:pageBreakBefore/>
        <w:spacing w:before="156" w:beforeLines="50"/>
        <w:rPr>
          <w:rFonts w:ascii="黑体" w:hAnsi="黑体" w:eastAsia="黑体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  <w:highlight w:val="none"/>
        </w:rPr>
        <w:t>附件1</w:t>
      </w:r>
    </w:p>
    <w:p w14:paraId="59A75B50">
      <w:pPr>
        <w:spacing w:before="156" w:beforeLines="50"/>
        <w:jc w:val="center"/>
        <w:rPr>
          <w:rFonts w:ascii="长城小标宋体" w:hAnsi="长城小标宋体" w:eastAsia="长城小标宋体"/>
          <w:sz w:val="44"/>
          <w:szCs w:val="44"/>
          <w:highlight w:val="none"/>
        </w:rPr>
      </w:pPr>
      <w:r>
        <w:rPr>
          <w:rFonts w:ascii="长城小标宋体" w:hAnsi="长城小标宋体" w:eastAsia="长城小标宋体"/>
          <w:sz w:val="44"/>
          <w:szCs w:val="44"/>
          <w:highlight w:val="none"/>
        </w:rPr>
        <w:t>B</w:t>
      </w:r>
      <w:r>
        <w:rPr>
          <w:rFonts w:hint="eastAsia" w:ascii="长城小标宋体" w:hAnsi="长城小标宋体" w:eastAsia="长城小标宋体"/>
          <w:sz w:val="44"/>
          <w:szCs w:val="44"/>
          <w:highlight w:val="none"/>
        </w:rPr>
        <w:t>I</w:t>
      </w:r>
      <w:r>
        <w:rPr>
          <w:rFonts w:ascii="长城小标宋体" w:hAnsi="长城小标宋体" w:eastAsia="长城小标宋体"/>
          <w:sz w:val="44"/>
          <w:szCs w:val="44"/>
          <w:highlight w:val="none"/>
        </w:rPr>
        <w:t>AMAC</w:t>
      </w:r>
      <w:r>
        <w:rPr>
          <w:rFonts w:hint="eastAsia" w:ascii="长城小标宋体" w:hAnsi="长城小标宋体" w:eastAsia="长城小标宋体"/>
          <w:sz w:val="44"/>
          <w:szCs w:val="44"/>
          <w:highlight w:val="none"/>
        </w:rPr>
        <w:t>推介项目介绍</w:t>
      </w:r>
    </w:p>
    <w:p w14:paraId="295B1C11">
      <w:pPr>
        <w:spacing w:line="560" w:lineRule="exact"/>
        <w:ind w:firstLine="640" w:firstLineChars="200"/>
        <w:rPr>
          <w:rFonts w:ascii="黑体" w:hAnsi="黑体" w:eastAsia="黑体" w:cs="Calibri"/>
          <w:kern w:val="0"/>
          <w:sz w:val="32"/>
          <w:szCs w:val="32"/>
          <w:highlight w:val="none"/>
        </w:rPr>
      </w:pPr>
    </w:p>
    <w:p w14:paraId="59737413">
      <w:pPr>
        <w:spacing w:line="560" w:lineRule="exact"/>
        <w:ind w:firstLine="640" w:firstLineChars="200"/>
        <w:rPr>
          <w:rFonts w:ascii="黑体" w:hAnsi="黑体" w:eastAsia="黑体" w:cs="Calibri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Calibri"/>
          <w:kern w:val="0"/>
          <w:sz w:val="32"/>
          <w:szCs w:val="32"/>
          <w:highlight w:val="none"/>
        </w:rPr>
        <w:t>一、证券机构推介</w:t>
      </w:r>
    </w:p>
    <w:p w14:paraId="276C1AC0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本届推介就证券机构（证券公司、证券资管公司、证券研究所等）设置四个推介项目：</w:t>
      </w:r>
    </w:p>
    <w:p w14:paraId="7E650593">
      <w:pPr>
        <w:numPr>
          <w:ilvl w:val="0"/>
          <w:numId w:val="1"/>
        </w:numPr>
        <w:tabs>
          <w:tab w:val="left" w:pos="1276"/>
        </w:tabs>
        <w:spacing w:line="560" w:lineRule="exact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证券机构推介——综合</w:t>
      </w:r>
    </w:p>
    <w:p w14:paraId="109E8153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综合考虑以下指标加权计算得出：证券机构管理保险资金规模、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与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保险机构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开展业务的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收入情况等；保险机构的调查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反馈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结果。</w:t>
      </w:r>
    </w:p>
    <w:p w14:paraId="6150A09A">
      <w:pPr>
        <w:numPr>
          <w:ilvl w:val="0"/>
          <w:numId w:val="1"/>
        </w:numPr>
        <w:tabs>
          <w:tab w:val="left" w:pos="1276"/>
        </w:tabs>
        <w:spacing w:line="560" w:lineRule="exact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证券机构推介——专户业务</w:t>
      </w:r>
    </w:p>
    <w:p w14:paraId="3FDA1906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综合考虑以下指标加权计算得出：证券机构管理的保险资金专户规模、管理保险资金专户的投资收益率、专户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业务合作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的保险机构数量等；保险机构对证券机构专户业务情况的调查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反馈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结果。</w:t>
      </w:r>
    </w:p>
    <w:p w14:paraId="195DAE5F">
      <w:pPr>
        <w:numPr>
          <w:ilvl w:val="0"/>
          <w:numId w:val="1"/>
        </w:numPr>
        <w:tabs>
          <w:tab w:val="left" w:pos="1276"/>
        </w:tabs>
        <w:spacing w:line="560" w:lineRule="exact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证券机构推介——研究业务</w:t>
      </w:r>
    </w:p>
    <w:p w14:paraId="4FA724F0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综合考虑以下指标加权计算得出：证券机构正式发布的研究报告数量和保险机构研究收入等；保险机构对证券机构研究业务情况的调查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反馈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结果。</w:t>
      </w:r>
    </w:p>
    <w:p w14:paraId="51F902E8">
      <w:pPr>
        <w:numPr>
          <w:ilvl w:val="0"/>
          <w:numId w:val="1"/>
        </w:numPr>
        <w:tabs>
          <w:tab w:val="left" w:pos="1276"/>
        </w:tabs>
        <w:spacing w:line="560" w:lineRule="exact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证券机构推介——业务潜力</w:t>
      </w:r>
    </w:p>
    <w:p w14:paraId="681169DB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综合考虑以下指标加权计算得出：证券机构管理保险资金的规模、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与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保险机构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开展业务的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收入等较上一年度的增长率；保险机构的调查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反馈结果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。</w:t>
      </w:r>
    </w:p>
    <w:p w14:paraId="46864DE9">
      <w:pPr>
        <w:spacing w:line="560" w:lineRule="exact"/>
        <w:ind w:firstLine="640" w:firstLineChars="200"/>
        <w:rPr>
          <w:rFonts w:ascii="仿宋_GB2312" w:hAnsi="仿宋" w:eastAsia="仿宋_GB2312" w:cs="Calibri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Calibri"/>
          <w:kern w:val="0"/>
          <w:sz w:val="32"/>
          <w:szCs w:val="32"/>
          <w:highlight w:val="none"/>
        </w:rPr>
        <w:t>二、公募基金公司推介</w:t>
      </w:r>
    </w:p>
    <w:p w14:paraId="1D0EB9D9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本届推介就公募基金公司设置五个推介项目：</w:t>
      </w:r>
    </w:p>
    <w:p w14:paraId="2B1680F0">
      <w:pPr>
        <w:numPr>
          <w:ilvl w:val="0"/>
          <w:numId w:val="2"/>
        </w:numPr>
        <w:tabs>
          <w:tab w:val="left" w:pos="1276"/>
        </w:tabs>
        <w:spacing w:line="560" w:lineRule="exact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公募基金公司推介——综合</w:t>
      </w:r>
    </w:p>
    <w:p w14:paraId="1B72E2F4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综合考虑以下指标加权计算得出：公募基金公司管理保险资金（含专户和公募产品）规模、管理保险资金专户投资收益率、年末持仓和专户管理的保险机构数量等；保险机构对公募基金公司开展业务合作和服务情况的调查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反馈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结果。</w:t>
      </w:r>
    </w:p>
    <w:p w14:paraId="34AFE90F">
      <w:pPr>
        <w:numPr>
          <w:ilvl w:val="0"/>
          <w:numId w:val="2"/>
        </w:numPr>
        <w:tabs>
          <w:tab w:val="left" w:pos="1276"/>
        </w:tabs>
        <w:spacing w:line="560" w:lineRule="exact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公募基金公司推介——专户业务</w:t>
      </w:r>
    </w:p>
    <w:p w14:paraId="2AEADC0F">
      <w:pPr>
        <w:spacing w:line="560" w:lineRule="exact"/>
        <w:ind w:firstLine="640" w:firstLineChars="200"/>
        <w:rPr>
          <w:rFonts w:ascii="仿宋_GB2312" w:hAnsi="楷体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综合考虑以下指标加权计算得出：公募基金公司管理保险资金专户业务规模、管理保险资金专户的投资收益率、专户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业务合作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的保险机构数量等；保险机构对公募基金公司专户业务情况的调查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反馈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结果。</w:t>
      </w:r>
    </w:p>
    <w:p w14:paraId="0117C400">
      <w:pPr>
        <w:numPr>
          <w:ilvl w:val="0"/>
          <w:numId w:val="2"/>
        </w:numPr>
        <w:tabs>
          <w:tab w:val="left" w:pos="1276"/>
        </w:tabs>
        <w:spacing w:line="560" w:lineRule="exact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公募基金公司推介——权益类公募产品业务</w:t>
      </w:r>
    </w:p>
    <w:p w14:paraId="2D727D5D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综合考虑以下指标加权计算得出：公募基金公司报送的关于保险机构直接投资该公司权益类公募产品（股票型基金、混合型基金等）的年末持仓规模、持仓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的保险机构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数量以及所持仓产品的平均年化收益率等；保险机构对公募基金公司权益类公募产品业务情况的调查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反馈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结果。</w:t>
      </w:r>
    </w:p>
    <w:p w14:paraId="59CDFD39">
      <w:pPr>
        <w:numPr>
          <w:ilvl w:val="0"/>
          <w:numId w:val="2"/>
        </w:numPr>
        <w:tabs>
          <w:tab w:val="left" w:pos="1276"/>
        </w:tabs>
        <w:spacing w:line="560" w:lineRule="exact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公募基金公司推介——固收类公募产品业务</w:t>
      </w:r>
    </w:p>
    <w:p w14:paraId="69E95100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综合考虑以下指标加权计算得出：公募基金公司报送的关于保险机构直接投资该公司固收类公募产品（债券型基金、固收+基金等）的年末持仓规模、持仓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的保险机构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数量以及所持仓产品的平均年化收益率等；保险机构对公募基金公司固收类公募产品业务情况的调查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反馈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结果。</w:t>
      </w:r>
    </w:p>
    <w:p w14:paraId="5FEA50D9">
      <w:pPr>
        <w:numPr>
          <w:ilvl w:val="0"/>
          <w:numId w:val="2"/>
        </w:numPr>
        <w:tabs>
          <w:tab w:val="left" w:pos="1276"/>
        </w:tabs>
        <w:spacing w:line="560" w:lineRule="exact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公募基金公司推介——业务潜力</w:t>
      </w:r>
    </w:p>
    <w:p w14:paraId="25C00836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综合考虑以下指标加权计算得出：公募基金公司管理保险资金规模、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平均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收益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率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等较上一年度的增长率情况；保险机构的调查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反馈结果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。</w:t>
      </w:r>
    </w:p>
    <w:p w14:paraId="5BA7ECF1">
      <w:pPr>
        <w:spacing w:line="560" w:lineRule="exact"/>
        <w:ind w:firstLine="640" w:firstLineChars="200"/>
        <w:rPr>
          <w:rFonts w:ascii="仿宋_GB2312" w:hAnsi="仿宋" w:eastAsia="仿宋_GB2312" w:cs="Calibri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Calibri"/>
          <w:kern w:val="0"/>
          <w:sz w:val="32"/>
          <w:szCs w:val="32"/>
          <w:highlight w:val="none"/>
        </w:rPr>
        <w:t>三、期货公司推介</w:t>
      </w:r>
    </w:p>
    <w:p w14:paraId="54139BD7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本届推介就期货公司设置三项推介项目：</w:t>
      </w:r>
    </w:p>
    <w:p w14:paraId="7834E01F">
      <w:pPr>
        <w:numPr>
          <w:ilvl w:val="0"/>
          <w:numId w:val="3"/>
        </w:numPr>
        <w:tabs>
          <w:tab w:val="left" w:pos="1276"/>
        </w:tabs>
        <w:spacing w:line="560" w:lineRule="exact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期货公司推介——股指期货业务</w:t>
      </w:r>
    </w:p>
    <w:p w14:paraId="70B886C0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综合考虑以下指标加权计算得出：期货公司报送的与保险机构开展股指期货业务日均持仓规模、日均保证金规模和合作机构数量等；保险机构对期货公司股指期货业务能力和服务等情况的调查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反馈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结果。</w:t>
      </w:r>
    </w:p>
    <w:p w14:paraId="3E0CDF6B">
      <w:pPr>
        <w:numPr>
          <w:ilvl w:val="0"/>
          <w:numId w:val="3"/>
        </w:numPr>
        <w:tabs>
          <w:tab w:val="left" w:pos="1276"/>
        </w:tabs>
        <w:spacing w:line="560" w:lineRule="exact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期货公司推介——国债期货业务</w:t>
      </w:r>
    </w:p>
    <w:p w14:paraId="29AD13F3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综合考虑以下指标加权计算得出：期货公司报送的与保险机构开展国债期货业务日均持仓规模、日均保证金规模和合作机构数量等；保险机构对期货公司国债期货业务能力和服务等情况的调查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反馈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结果。</w:t>
      </w:r>
    </w:p>
    <w:p w14:paraId="4E392167">
      <w:pPr>
        <w:numPr>
          <w:ilvl w:val="0"/>
          <w:numId w:val="3"/>
        </w:numPr>
        <w:tabs>
          <w:tab w:val="left" w:pos="1276"/>
        </w:tabs>
        <w:spacing w:line="560" w:lineRule="exact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期货公司推介——业务潜力</w:t>
      </w:r>
    </w:p>
    <w:p w14:paraId="56CD6021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综合考虑以下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指标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加权计算得出：期货公司管理保险资金规模、服务保险机构数量较上一年度的增长率等情况；保险机构的调查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反馈结果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。</w:t>
      </w:r>
    </w:p>
    <w:p w14:paraId="79BB7FE7">
      <w:pPr>
        <w:spacing w:line="560" w:lineRule="exact"/>
        <w:ind w:firstLine="640" w:firstLineChars="200"/>
        <w:rPr>
          <w:rFonts w:ascii="黑体" w:hAnsi="黑体" w:eastAsia="黑体" w:cs="Calibri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Calibri"/>
          <w:kern w:val="0"/>
          <w:sz w:val="32"/>
          <w:szCs w:val="32"/>
          <w:highlight w:val="none"/>
        </w:rPr>
        <w:t>四、境外投资机构推介</w:t>
      </w:r>
    </w:p>
    <w:p w14:paraId="4A0C7B52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本届推介就境外投资机构设置四个推介项目：</w:t>
      </w:r>
    </w:p>
    <w:p w14:paraId="5F33ADB3">
      <w:pPr>
        <w:numPr>
          <w:ilvl w:val="0"/>
          <w:numId w:val="4"/>
        </w:numPr>
        <w:tabs>
          <w:tab w:val="left" w:pos="1276"/>
        </w:tabs>
        <w:spacing w:line="560" w:lineRule="exact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境外投资机构推介——受托业务</w:t>
      </w:r>
    </w:p>
    <w:p w14:paraId="51D33A0B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综合考虑以下指标加权计算得出：境外投资机构报送的 2025年度合计受托管理中国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境内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保险资金规模数据（以美元计价）、平均收益率等；保险机构对境外投资机构受托业务情况的调查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反馈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结果。该境外投资机构须符合《保险资金境外投资管理办法》的境外受托人相关规定。</w:t>
      </w:r>
    </w:p>
    <w:p w14:paraId="7ACA1250">
      <w:pPr>
        <w:numPr>
          <w:ilvl w:val="0"/>
          <w:numId w:val="4"/>
        </w:numPr>
        <w:tabs>
          <w:tab w:val="left" w:pos="1276"/>
        </w:tabs>
        <w:spacing w:line="560" w:lineRule="exact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境外投资机构推介——境外公开市场业务</w:t>
      </w:r>
    </w:p>
    <w:p w14:paraId="46324BDE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综合考虑以下指标加权计算得出：境外投资机构报送的关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于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管理中国境内保险机构公开市场投资业务（含境外股票、债券、基金、衍生品等）规模；保险机构对境外投资机构公开市场投资业务情况的调查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反馈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结果。</w:t>
      </w:r>
    </w:p>
    <w:p w14:paraId="4789E3B1">
      <w:pPr>
        <w:numPr>
          <w:ilvl w:val="0"/>
          <w:numId w:val="4"/>
        </w:numPr>
        <w:tabs>
          <w:tab w:val="left" w:pos="1276"/>
        </w:tabs>
        <w:spacing w:line="560" w:lineRule="exact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境外投资机构推介——境外另类业务</w:t>
      </w:r>
    </w:p>
    <w:p w14:paraId="0A7B504D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综合考虑以下指标加权计算得出：境外投资机构报送的关于管理中国境内保险机构另类投资业务（含境外私募股权基金、基建类基金等）规模；保险机构对境外投资机构另类投资业务情况的调查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反馈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结果。</w:t>
      </w:r>
    </w:p>
    <w:p w14:paraId="20397783">
      <w:pPr>
        <w:numPr>
          <w:ilvl w:val="0"/>
          <w:numId w:val="4"/>
        </w:numPr>
        <w:tabs>
          <w:tab w:val="left" w:pos="1276"/>
        </w:tabs>
        <w:spacing w:line="560" w:lineRule="exact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境外投资机构推介——业务潜力</w:t>
      </w:r>
    </w:p>
    <w:p w14:paraId="045A451A"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综合考虑以下指标加权计算得出：境外投资机构管理的中国境内保险资金规模、保险机构合作数量、服务保险机构数量等较上一年度的增长率；保险机构的调查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反馈结果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。</w:t>
      </w:r>
    </w:p>
    <w:p w14:paraId="16784573">
      <w:pPr>
        <w:rPr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长城小标宋体">
    <w:panose1 w:val="02010609010101010101"/>
    <w:charset w:val="86"/>
    <w:family w:val="moder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91BD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75BF5D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75BF5D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050499"/>
    <w:multiLevelType w:val="singleLevel"/>
    <w:tmpl w:val="9A050499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18AD5C11"/>
    <w:multiLevelType w:val="singleLevel"/>
    <w:tmpl w:val="18AD5C11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29E2BD3C"/>
    <w:multiLevelType w:val="singleLevel"/>
    <w:tmpl w:val="29E2BD3C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7609A0BC"/>
    <w:multiLevelType w:val="singleLevel"/>
    <w:tmpl w:val="7609A0BC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DE1BD6"/>
    <w:rsid w:val="3ADE1BD6"/>
    <w:rsid w:val="4740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1749</Words>
  <Characters>1757</Characters>
  <Lines>0</Lines>
  <Paragraphs>0</Paragraphs>
  <TotalTime>0</TotalTime>
  <ScaleCrop>false</ScaleCrop>
  <LinksUpToDate>false</LinksUpToDate>
  <CharactersWithSpaces>1758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2026-08-03T08:06:00Z</dcterms:created>
  <dc:creator>田丰</dc:creator>
  <cp:lastModifiedBy>田丰</cp:lastModifiedBy>
  <dcterms:modified xsi:type="dcterms:W3CDTF">2026-08-03T08:14:40Z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813160AD126344CD95DA74DEC609ED49_11</vt:lpwstr>
  </property>
  <property fmtid="{D5CDD505-2E9C-101B-9397-08002B2CF9AE}" pid="4" name="KSOTemplateDocerSaveRecord">
    <vt:lpwstr>eyJoZGlkIjoiM2I5ZGY1ZDc4YjYzNDE5ZDVlMWE2MzgzNDEyMTQ1ZWUiLCJ1c2VySWQiOiIxNjcxNDg0ODY4In0=</vt:lpwstr>
  </property>
</Properties>
</file>